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jpeg" ContentType="image/jpeg"/>
  <Override PartName="/word/media/image5.png" ContentType="image/png"/>
  <Override PartName="/word/media/image4.png" ContentType="image/png"/>
  <Override PartName="/word/media/image6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RICARDO CASTILLO TORRES</w:t>
      </w:r>
    </w:p>
    <w:p>
      <w:pPr>
        <w:pStyle w:val="Normal"/>
        <w:spacing w:lineRule="auto" w:line="240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Rector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Institución Educativa Santo Tomás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Calle 34 # 3N-15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ie.santotomas@cali.gov.co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Cali</w:t>
      </w:r>
    </w:p>
    <w:p>
      <w:pPr>
        <w:pStyle w:val="Normal"/>
        <w:spacing w:lineRule="auto" w:line="240"/>
        <w:jc w:val="both"/>
        <w:rPr/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Asunto: Respuesta a </w:t>
      </w: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solicitud</w:t>
      </w:r>
      <w:r>
        <w:rPr>
          <w:rFonts w:cs="Arial" w:ascii="Arial" w:hAnsi="Arial"/>
        </w:rPr>
        <w:t>_</w:t>
      </w:r>
      <w:r>
        <w:rPr>
          <w:rFonts w:cs="Arial" w:ascii="Arial" w:hAnsi="Arial"/>
        </w:rPr>
        <w:t>proceso de fumigación en la I.E. Santo Tomas y Sedes.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76"/>
        <w:ind w:left="0" w:right="0" w:hanging="0"/>
        <w:jc w:val="both"/>
        <w:rPr/>
      </w:pP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FFFFFF" w:val="clear"/>
          <w:lang w:val="es-CO" w:eastAsia="ar-SA" w:bidi="ar-SA"/>
        </w:rPr>
        <w:t xml:space="preserve">De manera atenta, en respuesta a solicitud radicado No. 202541730100041382, se comunica en referencia al asunto, que en la  Institución Educativa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FFFFFF" w:val="clear"/>
          <w:lang w:val="es-CO" w:eastAsia="ar-SA" w:bidi="ar-SA"/>
        </w:rPr>
        <w:t xml:space="preserve">Santo Tomás y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FFFFFF" w:val="clear"/>
          <w:lang w:val="es-CO" w:eastAsia="ar-SA" w:bidi="ar-SA"/>
        </w:rPr>
        <w:t xml:space="preserve">sus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FFFFFF" w:val="clear"/>
          <w:lang w:val="es-CO" w:eastAsia="ar-SA" w:bidi="ar-SA"/>
        </w:rPr>
        <w:t xml:space="preserve"> Sedes,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FFFFFF" w:val="clear"/>
          <w:lang w:val="es-CO" w:eastAsia="ar-SA" w:bidi="ar-SA"/>
        </w:rPr>
        <w:t>Santo Tomas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FFFFFF" w:val="clear"/>
          <w:lang w:val="es-CO" w:eastAsia="ar-SA" w:bidi="ar-SA"/>
        </w:rPr>
        <w:t xml:space="preserve"> CASD, Manuela Beltrán y Jorge Isaacs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, se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>realizo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 fumigación durante el último trimestre del 2024, con 8 controles en este periodo, por parte de la Empresa TECNISEC, contratada por la Secretaría de Salud Distrital debido a la epidemia de Dengue en la ciudad.  </w:t>
      </w:r>
    </w:p>
    <w:p>
      <w:pPr>
        <w:pStyle w:val="LOnormal"/>
        <w:spacing w:lineRule="auto" w:line="276"/>
        <w:ind w:left="0" w:right="0" w:hanging="0"/>
        <w:jc w:val="both"/>
        <w:rPr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u w:val="none"/>
          <w:shd w:fill="FFFFFF" w:val="clear"/>
        </w:rPr>
      </w:pPr>
      <w:r>
        <w:rPr>
          <w:b w:val="false"/>
          <w:i w:val="false"/>
          <w:caps w:val="false"/>
          <w:smallCaps w:val="false"/>
          <w:strike w:val="false"/>
          <w:dstrike w:val="false"/>
          <w:u w:val="none"/>
          <w:shd w:fill="FFFFFF" w:val="clear"/>
        </w:rPr>
      </w:r>
    </w:p>
    <w:p>
      <w:pPr>
        <w:pStyle w:val="LOnormal"/>
        <w:spacing w:lineRule="auto" w:line="276"/>
        <w:ind w:left="0" w:right="0" w:hanging="0"/>
        <w:jc w:val="both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Sin embargo es importante resaltar que de acuerdo a la Ley 9 de 1979, que es la norma marco de las acciones de carácter sanitario que contribuyen en la preservación, restauración y mejoramiento de las condiciones sanitarias relacionadas con la salud humana, donde se establecen las normas generales para los productos, servicios y establecimientos objetos de inspección y vigilancia, así como los procedimientos y medidas sanitarias que se debe aplicar para su control (artículos 198 y 207) y a la Resolución 1229 de 2013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</w:rPr>
        <w:t xml:space="preserve"> “</w:t>
      </w:r>
      <w:r>
        <w:rPr>
          <w:rFonts w:eastAsia="Arial" w:cs="Arial" w:ascii="Arial" w:hAnsi="Arial"/>
          <w:b w:val="false"/>
          <w:i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</w:rPr>
        <w:t>Por la cual se establece el modelo de inspección, vigilancia y control sanitario para los productos de uso y consumo humano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</w:rPr>
        <w:t>”;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donde se define que los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</w:rPr>
        <w:t>“</w:t>
      </w:r>
      <w:r>
        <w:rPr>
          <w:rFonts w:eastAsia="Arial" w:cs="Arial" w:ascii="Arial" w:hAnsi="Arial"/>
          <w:b w:val="false"/>
          <w:i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</w:rPr>
        <w:t>Sujetos de inspección, vigilancia y control sanitario son las personas naturales y jurídicas, organizaciones e instituciones obligadas a proteger la salud pública y garantizar la seguridad sanitaria a través de su desempeño…”</w:t>
      </w:r>
      <w:r>
        <w:rPr>
          <w:rFonts w:eastAsia="Arial" w:cs="Arial" w:ascii="Arial" w:hAnsi="Arial"/>
          <w:b w:val="false"/>
          <w:i/>
          <w:caps w:val="false"/>
          <w:smallCaps w:val="false"/>
          <w:strike w:val="false"/>
          <w:dstrike w:val="false"/>
          <w:color w:val="000000"/>
          <w:u w:val="none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(artículo 4), los establecimientos deben aplicar las medidas preventivas y/o correctivas si es el caso, con el fin de cumplir con las condiciones higiénico sanitarias; lo cual incluye el componente integral de vectores.</w:t>
      </w:r>
    </w:p>
    <w:p>
      <w:pPr>
        <w:pStyle w:val="LOnormal"/>
        <w:spacing w:lineRule="auto" w:line="276" w:before="0" w:after="120"/>
        <w:ind w:left="0" w:right="0" w:hanging="0"/>
        <w:rPr>
          <w:rFonts w:eastAsia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Times New Roman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LOnormal"/>
        <w:spacing w:lineRule="auto" w:line="276"/>
        <w:ind w:left="0" w:right="0" w:hanging="0"/>
        <w:jc w:val="both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 xml:space="preserve">Teniendo en cuenta lo anterior, se informa que las funciones de este organismo no se extienden a la prestación de servicios de fumigación a establecimientos. Estas intervenciones unicamente se realizan durante situaciones epidémicas y/o emergencia. Las acciones  de los funcionarios designados por la Secretaría de Salud del Distrito Especial de Santiago de Cali se enfocan en verificar que los establecimientos objeto de inspección, vigilancia y control cumplan con las condiciones establecidas en la ley y los reglamentos correspondientes. Estas acciones se enmarcan en las competencias designadas a las autoridades de salud en el ámbito territorial a través de la Ley 715 de 2001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shd w:fill="FFFFFF" w:val="clear"/>
        </w:rPr>
        <w:t>"</w:t>
      </w:r>
      <w:r>
        <w:rPr>
          <w:rFonts w:eastAsia="Arial" w:cs="Arial" w:ascii="Arial" w:hAnsi="Arial"/>
          <w:b w:val="false"/>
          <w:i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shd w:fill="FFFFFF" w:val="clear"/>
        </w:rPr>
        <w:t>Por la cual se dictan normas orgánicas en materia de recursos y competencias de conformidad con los artículos 151, 288, 356 y 357 (Acto Legislativo 01 de 2001) de la Constitución Política y se dictan otras disposiciones para organizar la prestación de los servicios de educación y salud, entre otros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shd w:fill="FFFFFF" w:val="clear"/>
        </w:rPr>
        <w:t>"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, en su artículo 44.3.5.</w:t>
      </w:r>
    </w:p>
    <w:p>
      <w:pPr>
        <w:pStyle w:val="LOnormal"/>
        <w:spacing w:lineRule="auto" w:line="276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LOnormal"/>
        <w:spacing w:lineRule="auto" w:line="276"/>
        <w:ind w:left="0" w:right="0" w:hanging="0"/>
        <w:jc w:val="both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>Cabe resaltar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, que la mejor manera de controlar la transmisión es evitar criaderos del vector </w:t>
      </w:r>
      <w:r>
        <w:rPr>
          <w:rFonts w:eastAsia="Arial" w:cs="Arial" w:ascii="Arial" w:hAnsi="Arial"/>
          <w:b w:val="false"/>
          <w:i/>
          <w:caps w:val="false"/>
          <w:smallCaps w:val="false"/>
          <w:strike w:val="false"/>
          <w:dstrike w:val="false"/>
          <w:color w:val="000000"/>
          <w:u w:val="none"/>
        </w:rPr>
        <w:t>Aedes aegypti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, pues la fumigación solo actúa sobre los zancudos que tengan contacto con el insecticida, pero si hay criaderos en la edificación, es posible que al día siguiente haya nuevamente zancudos.</w:t>
      </w:r>
    </w:p>
    <w:p>
      <w:pPr>
        <w:pStyle w:val="LOnormal"/>
        <w:tabs>
          <w:tab w:val="clear" w:pos="709"/>
          <w:tab w:val="left" w:pos="0" w:leader="none"/>
        </w:tabs>
        <w:spacing w:lineRule="auto" w:line="276"/>
        <w:ind w:left="707" w:right="0" w:hanging="283"/>
        <w:jc w:val="both"/>
        <w:rPr>
          <w:rFonts w:cs="Times New Roman"/>
          <w:iCs/>
          <w:kern w:val="2"/>
          <w:effect w:val="none"/>
          <w:shd w:fill="FFFFFF" w:val="clear"/>
          <w:lang w:eastAsia="ar-SA"/>
        </w:rPr>
      </w:pPr>
      <w:r>
        <w:rPr>
          <w:rFonts w:cs="Times New Roman"/>
          <w:iCs/>
          <w:kern w:val="2"/>
          <w:effect w:val="none"/>
          <w:shd w:fill="FFFFFF" w:val="clear"/>
          <w:lang w:eastAsia="ar-SA"/>
        </w:rPr>
      </w:r>
    </w:p>
    <w:p>
      <w:pPr>
        <w:pStyle w:val="Cuerpodetexto"/>
        <w:tabs>
          <w:tab w:val="clear" w:pos="709"/>
          <w:tab w:val="left" w:pos="735" w:leader="none"/>
        </w:tabs>
        <w:suppressAutoHyphens w:val="true"/>
        <w:bidi w:val="0"/>
        <w:spacing w:lineRule="auto" w:line="276" w:before="0" w:after="0"/>
        <w:ind w:left="0" w:right="0" w:hanging="0"/>
        <w:jc w:val="both"/>
        <w:rPr>
          <w:rFonts w:ascii="Arial" w:hAnsi="Arial" w:eastAsia="Arial Unicode MS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auto"/>
          <w:sz w:val="24"/>
          <w:szCs w:val="24"/>
          <w:u w:val="none"/>
          <w:lang w:val="es-CO" w:bidi="ar-SA"/>
        </w:rPr>
      </w:pPr>
      <w:r>
        <w:rPr>
          <w:rFonts w:eastAsia="Arial Unicode MS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>Con lo anterior se da respuesta de fondo a su solicitud, no obstante, estaremos atentos en caso de requerir información adicional.</w:t>
      </w:r>
    </w:p>
    <w:p>
      <w:pPr>
        <w:pStyle w:val="LOnormal"/>
        <w:spacing w:lineRule="auto" w:line="276" w:before="0" w:after="120"/>
        <w:ind w:left="0" w:right="0" w:hanging="0"/>
        <w:jc w:val="both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sz w:val="24"/>
          <w:szCs w:val="24"/>
          <w:u w:val="none"/>
          <w:lang w:val="es-CO" w:bidi="ar-SA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sz w:val="24"/>
          <w:szCs w:val="24"/>
          <w:u w:val="none"/>
          <w:lang w:val="es-CO" w:bidi="ar-SA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  <w:drawing>
          <wp:inline distT="0" distB="0" distL="0" distR="0">
            <wp:extent cx="1725295" cy="699135"/>
            <wp:effectExtent l="0" t="0" r="0" b="0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>Responsable Programa de Prevención y Control ETV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  <w:lang w:val="es-ES"/>
        </w:rPr>
        <w:t>CC</w:t>
      </w:r>
      <w:r>
        <w:rPr>
          <w:rFonts w:cs="Arial" w:ascii="Arial" w:hAnsi="Arial"/>
          <w:sz w:val="16"/>
          <w:szCs w:val="16"/>
        </w:rPr>
        <w:t xml:space="preserve">. </w:t>
      </w:r>
      <w:r>
        <w:rPr>
          <w:rFonts w:cs="Arial" w:ascii="Arial" w:hAnsi="Arial"/>
          <w:sz w:val="16"/>
          <w:szCs w:val="16"/>
        </w:rPr>
        <w:t xml:space="preserve">Dra. </w:t>
      </w:r>
      <w:r>
        <w:rPr>
          <w:rFonts w:cs="Arial" w:ascii="Arial" w:hAnsi="Arial"/>
          <w:sz w:val="16"/>
          <w:szCs w:val="16"/>
        </w:rPr>
        <w:t xml:space="preserve">Leidy Tatiana Aguilar Rodríguez – </w:t>
      </w:r>
      <w:r>
        <w:rPr>
          <w:rFonts w:cs="Arial" w:ascii="Arial" w:hAnsi="Arial"/>
          <w:sz w:val="16"/>
          <w:szCs w:val="16"/>
        </w:rPr>
        <w:t xml:space="preserve">Secretaria de Despacho, </w:t>
      </w:r>
      <w:r>
        <w:rPr>
          <w:rFonts w:cs="Arial" w:ascii="Arial" w:hAnsi="Arial"/>
          <w:sz w:val="16"/>
          <w:szCs w:val="16"/>
        </w:rPr>
        <w:t>Secretaría de Educación.</w:t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 </w:t>
      </w:r>
      <w:r>
        <w:rPr>
          <w:rFonts w:cs="Arial" w:ascii="Arial" w:hAnsi="Arial"/>
          <w:sz w:val="16"/>
          <w:szCs w:val="16"/>
          <w:lang w:val="es-ES"/>
        </w:rPr>
        <w:t xml:space="preserve">y </w:t>
      </w:r>
      <w:r>
        <w:rPr>
          <w:rFonts w:cs="Arial" w:ascii="Arial" w:hAnsi="Arial"/>
          <w:sz w:val="16"/>
          <w:szCs w:val="16"/>
          <w:lang w:val="es-ES"/>
        </w:rPr>
        <w:t xml:space="preserve">Elaboró: </w:t>
      </w:r>
      <w:r>
        <w:rPr>
          <w:rFonts w:cs="Arial" w:ascii="Arial" w:hAnsi="Arial"/>
          <w:sz w:val="16"/>
          <w:szCs w:val="16"/>
          <w:lang w:val="es-ES"/>
        </w:rPr>
        <w:t xml:space="preserve">Dahiana Quintero Echeverry – Contratista 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3">
        <w:r>
          <w:rPr>
            <w:rStyle w:val="EnlacedeInternet"/>
            <w:rFonts w:cs="Arial" w:ascii="Arial" w:hAnsi="Arial"/>
            <w:sz w:val="16"/>
            <w:szCs w:val="16"/>
            <w:shd w:fill="FFFFFF" w:val="clear"/>
          </w:rPr>
          <w:t>http://www.cali.gov.co/aplicaciones/encuestas_ciudadano/view_encuesta_satisfaccion.php</w:t>
        </w:r>
      </w:hyperlink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</w:rPr>
      </w:pPr>
      <w:r>
        <w:rPr/>
        <w:drawing>
          <wp:anchor behindDoc="0" distT="0" distB="0" distL="0" distR="0" simplePos="0" locked="0" layoutInCell="0" allowOverlap="1" relativeHeight="13">
            <wp:simplePos x="0" y="0"/>
            <wp:positionH relativeFrom="margin">
              <wp:posOffset>-635</wp:posOffset>
            </wp:positionH>
            <wp:positionV relativeFrom="paragraph">
              <wp:posOffset>52070</wp:posOffset>
            </wp:positionV>
            <wp:extent cx="563245" cy="565785"/>
            <wp:effectExtent l="0" t="0" r="0" b="0"/>
            <wp:wrapNone/>
            <wp:docPr id="2" name="Imagen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565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3" wp14:anchorId="35C5AF76">
              <wp:simplePos x="0" y="0"/>
              <wp:positionH relativeFrom="column">
                <wp:posOffset>7620</wp:posOffset>
              </wp:positionH>
              <wp:positionV relativeFrom="paragraph">
                <wp:posOffset>7265670</wp:posOffset>
              </wp:positionV>
              <wp:extent cx="1042035" cy="4445"/>
              <wp:effectExtent l="0" t="0" r="0" b="0"/>
              <wp:wrapSquare wrapText="largest"/>
              <wp:docPr id="6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1480" cy="396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6pt;margin-top:572.1pt;width:81.95pt;height:0.25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5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7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7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29205" cy="1020445"/>
              <wp:effectExtent l="0" t="0" r="0" b="0"/>
              <wp:wrapSquare wrapText="bothSides"/>
              <wp:docPr id="3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8640" cy="1019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05pt;height:80.2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5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image" Target="media/image2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5.png"/><Relationship Id="rId3" Type="http://schemas.openxmlformats.org/officeDocument/2006/relationships/image" Target="media/image6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Application>LibreOffice/7.0.3.1$Windows_X86_64 LibreOffice_project/d7547858d014d4cf69878db179d326fc3483e082</Application>
  <Pages>2</Pages>
  <Words>589</Words>
  <Characters>3356</Characters>
  <CharactersWithSpaces>3927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2025-01-22T14:40:53Z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